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24"/>
        </w:rPr>
      </w:pPr>
      <w:bookmarkStart w:id="0" w:name="_GoBack"/>
      <w:r>
        <w:rPr>
          <w:rFonts w:hint="eastAsia" w:ascii="微软雅黑" w:hAnsi="微软雅黑" w:eastAsia="微软雅黑" w:cs="微软雅黑"/>
          <w:sz w:val="30"/>
          <w:szCs w:val="30"/>
        </w:rPr>
        <w:t>技能大师工作室考核评估标准</w:t>
      </w:r>
    </w:p>
    <w:bookmarkEnd w:id="0"/>
    <w:p>
      <w:pPr>
        <w:ind w:right="-490" w:rightChars="-244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工作室名称</w:t>
      </w:r>
      <w:r>
        <w:rPr>
          <w:rFonts w:hint="eastAsia" w:ascii="仿宋_GB2312" w:eastAsia="仿宋_GB2312"/>
          <w:sz w:val="24"/>
          <w:u w:val="single"/>
        </w:rPr>
        <w:t xml:space="preserve">                          </w:t>
      </w:r>
      <w:r>
        <w:rPr>
          <w:rFonts w:hint="eastAsia" w:ascii="仿宋_GB2312" w:eastAsia="仿宋_GB2312"/>
          <w:sz w:val="24"/>
        </w:rPr>
        <w:t xml:space="preserve">                                                      年   月  日</w:t>
      </w:r>
    </w:p>
    <w:tbl>
      <w:tblPr>
        <w:tblStyle w:val="5"/>
        <w:tblW w:w="139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49"/>
        <w:gridCol w:w="720"/>
        <w:gridCol w:w="539"/>
        <w:gridCol w:w="4320"/>
        <w:gridCol w:w="1081"/>
        <w:gridCol w:w="3768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序号</w:t>
            </w: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项目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分值</w:t>
            </w:r>
          </w:p>
        </w:tc>
        <w:tc>
          <w:tcPr>
            <w:tcW w:w="48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考核内容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分项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分值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评分标准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一</w:t>
            </w:r>
          </w:p>
        </w:tc>
        <w:tc>
          <w:tcPr>
            <w:tcW w:w="9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基础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建设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25分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有工作室专用场地；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无工作室场地不得分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拥有不少于5人组成的技术技能人才团队；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4人（含）以下不得分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有明显的工作室标识牌、有工作室成果荣誉展示栏；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无明显标识牌不得分、无展示栏不得分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有工作室正常运作的设备；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设备不足影响运作不得分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310" w:hanging="310" w:hangingChars="14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310" w:hanging="310" w:hangingChars="147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所在单位每年安排扶持资金；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10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无扶持资金的不得分；每安排1万元得1分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二</w:t>
            </w:r>
          </w:p>
        </w:tc>
        <w:tc>
          <w:tcPr>
            <w:tcW w:w="9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制度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建设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10分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6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建立工作室综合管理制度；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没有建立的不得分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7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建立领办人岗位职责；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没有建立的不得分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8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做到规章制度张贴上墙；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没有在明显处张贴的不得分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三</w:t>
            </w:r>
          </w:p>
        </w:tc>
        <w:tc>
          <w:tcPr>
            <w:tcW w:w="9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经费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管理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25分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9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建立经费使用管理办法；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没有建立的不得分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10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建立工作室经费会计账簿；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没有建立的不得分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11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经费使用符合财务管理规定；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出现不合理、不合规开支的不得分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四</w:t>
            </w:r>
          </w:p>
        </w:tc>
        <w:tc>
          <w:tcPr>
            <w:tcW w:w="94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成果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产出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40分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12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当年举办培训班情况；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以培训花名册为准，未开展的不得分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当年带徒传艺情况；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10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带徒20人（含）以下不得分；20人以上，每增加一人得0.5分，最高不超过10分；以师徒协议为准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2"/>
                <w:szCs w:val="22"/>
              </w:rPr>
              <w:t>四</w:t>
            </w:r>
          </w:p>
        </w:tc>
        <w:tc>
          <w:tcPr>
            <w:tcW w:w="94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成果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2"/>
                <w:szCs w:val="22"/>
              </w:rPr>
              <w:t>产出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2"/>
                <w:szCs w:val="22"/>
              </w:rPr>
              <w:t>40分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当年培养高技能人才情况；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10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培养高技能人才10人（含）以下不得分；10人以上，每增加1人得1分。以职业资格证书或文件为依据。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413" w:hanging="414" w:hangingChars="196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开展技术攻关或技术革新项目并产生一定的经济效益；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6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开展1项并产生效益得1分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-12" w:firstLine="12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总结推广创新成果、绝技绝活和先进的生产操作法，开展业内技术交流会、课题研讨会或展示活动；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开展活动1次得1分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积极履行技能服务社会的责任；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开展或参加所在单位以外的服务社会活动1次得1分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积极开展校企合作活动，与技工院校开展共建工作，推进企业新型学徒制；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企业（院校）工作室与技工院校（企业）签订合作协议并开展活动得2分，开展企业新型学徒制工作得2分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五</w:t>
            </w:r>
          </w:p>
        </w:tc>
        <w:tc>
          <w:tcPr>
            <w:tcW w:w="9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加分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项目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10分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413" w:hanging="414" w:hangingChars="196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19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技师、高级技师培养有成效；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培养技师1人得0.5分，高级技师1人得1分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413" w:hanging="414" w:hangingChars="196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-12" w:firstLine="12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市级及以上电视台、报刊报道过工作室建设情况；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以新闻视频或报刊报道为依据，有1次市级得0.5分、省级得1分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413" w:hanging="414" w:hangingChars="196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21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-10" w:firstLine="10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工作室成果获得国家专利或省级及以上奖项；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以有关证书文件为依据，获得1项国家专利或省级以上奖项得0.5分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413" w:hanging="414" w:hangingChars="196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22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-12" w:firstLine="12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创新成果、特色生产操作方法等发表过论文，或公开出版教材书籍。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以相关实物或书刊资料为依据，发表1篇论文或出版1本书籍得0.5分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6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总分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110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  <w:sectPr>
          <w:pgSz w:w="16840" w:h="11907" w:orient="landscape"/>
          <w:pgMar w:top="1134" w:right="1476" w:bottom="1134" w:left="1588" w:header="851" w:footer="1474" w:gutter="0"/>
          <w:docGrid w:type="linesAndChars" w:linePitch="289" w:charSpace="-1847"/>
        </w:sectPr>
      </w:pPr>
    </w:p>
    <w:p/>
    <w:sectPr>
      <w:pgSz w:w="16840" w:h="11907" w:orient="landscape"/>
      <w:pgMar w:top="2098" w:right="1474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3EE6819"/>
    <w:rsid w:val="2B173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</Company>
  <Pages>4</Pages>
  <Words>939</Words>
  <Characters>979</Characters>
  <Lines>176</Lines>
  <Paragraphs>126</Paragraphs>
  <TotalTime>6</TotalTime>
  <ScaleCrop>false</ScaleCrop>
  <LinksUpToDate>false</LinksUpToDate>
  <CharactersWithSpaces>1063</CharactersWithSpaces>
  <Application>WPS Office_11.1.0.8527_F1E327BC-269C-435d-A152-05C5408002CA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2018-03-13T00:10:00Z</dcterms:created>
  <dc:creator>yozo</dc:creator>
  <cp:lastModifiedBy>╰☆焊花闪闪☆</cp:lastModifiedBy>
  <dcterms:modified xsi:type="dcterms:W3CDTF">2019-03-29T05:38:41Z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